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222" w:rsidRPr="00392222" w:rsidRDefault="00392222" w:rsidP="00392222">
      <w:pPr>
        <w:tabs>
          <w:tab w:val="left" w:pos="142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392222">
        <w:rPr>
          <w:rFonts w:asciiTheme="majorBidi" w:hAnsiTheme="majorBidi" w:cstheme="majorBidi"/>
          <w:b/>
          <w:bCs/>
          <w:sz w:val="28"/>
          <w:szCs w:val="28"/>
        </w:rPr>
        <w:t xml:space="preserve">Chapitre  II :                                     Mécanisme du Handover </w:t>
      </w:r>
    </w:p>
    <w:p w:rsidR="00392222" w:rsidRDefault="00392222" w:rsidP="00392222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</w:p>
    <w:p w:rsidR="00392222" w:rsidRPr="00392222" w:rsidRDefault="00392222" w:rsidP="00392222">
      <w:pPr>
        <w:tabs>
          <w:tab w:val="left" w:pos="142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392222">
        <w:rPr>
          <w:rFonts w:asciiTheme="majorBidi" w:hAnsiTheme="majorBidi" w:cstheme="majorBidi"/>
          <w:b/>
          <w:bCs/>
          <w:sz w:val="24"/>
          <w:szCs w:val="24"/>
        </w:rPr>
        <w:t xml:space="preserve">Contenu du chapitre </w:t>
      </w:r>
    </w:p>
    <w:p w:rsidR="00392222" w:rsidRPr="00392222" w:rsidRDefault="00392222" w:rsidP="00392222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II.1. Introduction   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22</w:t>
      </w:r>
    </w:p>
    <w:p w:rsidR="00392222" w:rsidRPr="00392222" w:rsidRDefault="00392222" w:rsidP="00392222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>II.2. Principe du Handover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22</w:t>
      </w:r>
    </w:p>
    <w:p w:rsidR="00392222" w:rsidRPr="00392222" w:rsidRDefault="00392222" w:rsidP="00392222">
      <w:pPr>
        <w:tabs>
          <w:tab w:val="left" w:pos="142"/>
        </w:tabs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II.2.1 Scénario du Handover sans changement de VLR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23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II.2.2. Nécessité d'un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24</w:t>
      </w:r>
    </w:p>
    <w:p w:rsidR="00392222" w:rsidRPr="00392222" w:rsidRDefault="00392222" w:rsidP="0039222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II.2.3. Buts du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24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        II.2.3.1.  Du point de vue utilisateur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24</w:t>
      </w:r>
    </w:p>
    <w:p w:rsidR="00392222" w:rsidRPr="00392222" w:rsidRDefault="00392222" w:rsidP="0039222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        II.2.3.2. Du point de vue opérateur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25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II.2.4. Principe de base du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25</w:t>
      </w:r>
    </w:p>
    <w:p w:rsidR="00392222" w:rsidRPr="00392222" w:rsidRDefault="00392222" w:rsidP="0039222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>II.3. Gestion et Procédure du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25</w:t>
      </w:r>
    </w:p>
    <w:p w:rsidR="00392222" w:rsidRPr="00392222" w:rsidRDefault="00392222" w:rsidP="0039222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II.3.1. Lancement du Handover  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26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II.3.2. Types de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27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II.3.3. Contrôle du Handover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28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II.3.4. Etablissement du Lien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28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</w:t>
      </w:r>
      <w:r w:rsidRPr="00392222">
        <w:rPr>
          <w:rFonts w:asciiTheme="majorBidi" w:hAnsiTheme="majorBidi" w:cstheme="majorBidi"/>
          <w:sz w:val="24"/>
          <w:szCs w:val="24"/>
          <w:lang w:val="en-US"/>
        </w:rPr>
        <w:t xml:space="preserve">II.3.5. </w:t>
      </w:r>
      <w:proofErr w:type="spellStart"/>
      <w:r w:rsidRPr="00392222">
        <w:rPr>
          <w:rFonts w:asciiTheme="majorBidi" w:hAnsiTheme="majorBidi" w:cstheme="majorBidi"/>
          <w:sz w:val="24"/>
          <w:szCs w:val="24"/>
          <w:lang w:val="en-US"/>
        </w:rPr>
        <w:t>Transfert</w:t>
      </w:r>
      <w:proofErr w:type="spellEnd"/>
      <w:r w:rsidRPr="00392222">
        <w:rPr>
          <w:rFonts w:asciiTheme="majorBidi" w:hAnsiTheme="majorBidi" w:cstheme="majorBidi"/>
          <w:sz w:val="24"/>
          <w:szCs w:val="24"/>
          <w:lang w:val="en-US"/>
        </w:rPr>
        <w:t xml:space="preserve"> du Lien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  <w:lang w:val="en-US"/>
        </w:rPr>
        <w:t>28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392222">
        <w:rPr>
          <w:rFonts w:asciiTheme="majorBidi" w:hAnsiTheme="majorBidi" w:cstheme="majorBidi"/>
          <w:sz w:val="24"/>
          <w:szCs w:val="24"/>
          <w:lang w:val="en-US"/>
        </w:rPr>
        <w:t xml:space="preserve">             II.3.5.1. Hard Handover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  <w:lang w:val="en-US"/>
        </w:rPr>
        <w:t>29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  <w:lang w:val="en-US"/>
        </w:rPr>
      </w:pPr>
      <w:r w:rsidRPr="00392222">
        <w:rPr>
          <w:rFonts w:asciiTheme="majorBidi" w:hAnsiTheme="majorBidi" w:cstheme="majorBidi"/>
          <w:sz w:val="24"/>
          <w:szCs w:val="24"/>
          <w:lang w:val="en-US"/>
        </w:rPr>
        <w:t xml:space="preserve">             II.3.5.2. Seamless Handover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  <w:lang w:val="en-US"/>
        </w:rPr>
        <w:t>29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  <w:lang w:val="en-US"/>
        </w:rPr>
        <w:t xml:space="preserve">             </w:t>
      </w:r>
      <w:r w:rsidRPr="00392222">
        <w:rPr>
          <w:rFonts w:asciiTheme="majorBidi" w:hAnsiTheme="majorBidi" w:cstheme="majorBidi"/>
          <w:sz w:val="24"/>
          <w:szCs w:val="24"/>
        </w:rPr>
        <w:t>II.3.5.3. Soft Handover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30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II.3.6. Evaluation de La procédure du Handover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31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        II.3.6.1. Indicateurs de performance microscopiques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31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 xml:space="preserve">             II.3.6.2. Indicateurs de performance macroscopiques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31</w:t>
      </w:r>
    </w:p>
    <w:p w:rsidR="00392222" w:rsidRPr="00392222" w:rsidRDefault="00392222" w:rsidP="00392222">
      <w:pPr>
        <w:ind w:left="720"/>
        <w:rPr>
          <w:rFonts w:asciiTheme="majorBidi" w:hAnsiTheme="majorBidi" w:cstheme="majorBidi"/>
          <w:sz w:val="24"/>
          <w:szCs w:val="24"/>
        </w:rPr>
      </w:pPr>
      <w:r w:rsidRPr="00392222">
        <w:rPr>
          <w:rFonts w:asciiTheme="majorBidi" w:hAnsiTheme="majorBidi" w:cstheme="majorBidi"/>
          <w:sz w:val="24"/>
          <w:szCs w:val="24"/>
        </w:rPr>
        <w:t>II.4.  Conclusion </w:t>
      </w:r>
      <w:r w:rsidRPr="00392222">
        <w:rPr>
          <w:rFonts w:asciiTheme="majorBidi" w:hAnsiTheme="majorBidi" w:cstheme="majorBidi"/>
          <w:sz w:val="24"/>
          <w:szCs w:val="24"/>
        </w:rPr>
        <w:ptab w:relativeTo="margin" w:alignment="right" w:leader="dot"/>
      </w:r>
      <w:r w:rsidRPr="00392222">
        <w:rPr>
          <w:rFonts w:asciiTheme="majorBidi" w:hAnsiTheme="majorBidi" w:cstheme="majorBidi"/>
          <w:sz w:val="24"/>
          <w:szCs w:val="24"/>
        </w:rPr>
        <w:t>32</w:t>
      </w:r>
    </w:p>
    <w:p w:rsidR="00E623D3" w:rsidRPr="00392222" w:rsidRDefault="00E623D3" w:rsidP="00392222">
      <w:pPr>
        <w:pStyle w:val="Titre1"/>
      </w:pPr>
    </w:p>
    <w:sectPr w:rsidR="00E623D3" w:rsidRPr="00392222" w:rsidSect="00E62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characterSpacingControl w:val="doNotCompress"/>
  <w:compat/>
  <w:rsids>
    <w:rsidRoot w:val="00392222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5D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C4D6E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222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16613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B749E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662C"/>
    <w:rsid w:val="00587521"/>
    <w:rsid w:val="0058762A"/>
    <w:rsid w:val="005A077A"/>
    <w:rsid w:val="005A3807"/>
    <w:rsid w:val="005A7FA3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7AA4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00F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1FBC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ECE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373A0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B603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0624C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35CF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3840"/>
    <w:rsid w:val="00E849DE"/>
    <w:rsid w:val="00E84D73"/>
    <w:rsid w:val="00E90B4F"/>
    <w:rsid w:val="00E91D24"/>
    <w:rsid w:val="00E94E29"/>
    <w:rsid w:val="00EA22AD"/>
    <w:rsid w:val="00EA4581"/>
    <w:rsid w:val="00EB050D"/>
    <w:rsid w:val="00EC365C"/>
    <w:rsid w:val="00EC7E41"/>
    <w:rsid w:val="00ED683A"/>
    <w:rsid w:val="00EE51F1"/>
    <w:rsid w:val="00EF03F0"/>
    <w:rsid w:val="00EF0507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161E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222"/>
  </w:style>
  <w:style w:type="paragraph" w:styleId="Titre1">
    <w:name w:val="heading 1"/>
    <w:basedOn w:val="Normal"/>
    <w:next w:val="Normal"/>
    <w:link w:val="Titre1Car"/>
    <w:uiPriority w:val="9"/>
    <w:qFormat/>
    <w:rsid w:val="003922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22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1</cp:revision>
  <dcterms:created xsi:type="dcterms:W3CDTF">2012-06-06T07:49:00Z</dcterms:created>
  <dcterms:modified xsi:type="dcterms:W3CDTF">2012-06-06T07:52:00Z</dcterms:modified>
</cp:coreProperties>
</file>